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18" w:rsidRPr="007B0B23" w:rsidRDefault="000E6718" w:rsidP="0062696B">
      <w:pPr>
        <w:framePr w:w="3798" w:h="1410" w:hRule="exact" w:hSpace="141" w:wrap="around" w:vAnchor="text" w:hAnchor="page" w:x="12431" w:y="-498"/>
        <w:shd w:val="clear" w:color="auto" w:fill="70AD47" w:themeFill="accent6"/>
        <w:rPr>
          <w:rFonts w:ascii="Marianne" w:hAnsi="Marianne"/>
          <w:sz w:val="18"/>
        </w:rPr>
      </w:pPr>
      <w:r w:rsidRPr="007B0B23">
        <w:rPr>
          <w:rFonts w:ascii="Marianne" w:hAnsi="Marianne"/>
          <w:sz w:val="18"/>
        </w:rPr>
        <w:t>Conformité au Guide pour enseigner la lecture et l’écriture au C</w:t>
      </w:r>
      <w:r w:rsidR="007B0B23" w:rsidRPr="007B0B23">
        <w:rPr>
          <w:rFonts w:ascii="Marianne" w:hAnsi="Marianne"/>
          <w:sz w:val="18"/>
        </w:rPr>
        <w:t>E1</w:t>
      </w:r>
    </w:p>
    <w:p w:rsidR="000E6718" w:rsidRPr="007B0B23" w:rsidRDefault="000E6718" w:rsidP="0062696B">
      <w:pPr>
        <w:framePr w:w="3798" w:h="1410" w:hRule="exact" w:hSpace="141" w:wrap="around" w:vAnchor="text" w:hAnchor="page" w:x="12431" w:y="-498"/>
        <w:shd w:val="clear" w:color="auto" w:fill="ED7D31" w:themeFill="accent2"/>
        <w:rPr>
          <w:rFonts w:ascii="Marianne" w:hAnsi="Marianne"/>
          <w:sz w:val="18"/>
          <w:shd w:val="clear" w:color="auto" w:fill="ED7D31"/>
        </w:rPr>
      </w:pPr>
      <w:r w:rsidRPr="0062696B">
        <w:rPr>
          <w:rFonts w:ascii="Marianne" w:hAnsi="Marianne"/>
          <w:sz w:val="18"/>
          <w:shd w:val="clear" w:color="auto" w:fill="ED7D31"/>
        </w:rPr>
        <w:t>Conformité partielle au guide</w:t>
      </w:r>
      <w:r w:rsidR="00434D45">
        <w:rPr>
          <w:rFonts w:ascii="Marianne" w:hAnsi="Marianne"/>
          <w:sz w:val="18"/>
          <w:shd w:val="clear" w:color="auto" w:fill="ED7D31"/>
        </w:rPr>
        <w:t xml:space="preserve">    </w:t>
      </w:r>
    </w:p>
    <w:p w:rsidR="000E6718" w:rsidRPr="007B0B23" w:rsidRDefault="000E6718" w:rsidP="0062696B">
      <w:pPr>
        <w:framePr w:w="3798" w:h="1410" w:hRule="exact" w:hSpace="141" w:wrap="around" w:vAnchor="text" w:hAnchor="page" w:x="12431" w:y="-498"/>
        <w:shd w:val="clear" w:color="auto" w:fill="FF0000"/>
        <w:rPr>
          <w:rFonts w:ascii="Marianne" w:hAnsi="Marianne"/>
          <w:sz w:val="18"/>
        </w:rPr>
      </w:pPr>
      <w:r w:rsidRPr="007B0B23">
        <w:rPr>
          <w:rFonts w:ascii="Marianne" w:hAnsi="Marianne"/>
          <w:sz w:val="18"/>
        </w:rPr>
        <w:t>Non conforme</w:t>
      </w:r>
    </w:p>
    <w:p w:rsidR="000E6718" w:rsidRPr="00E11344" w:rsidRDefault="00822AA4" w:rsidP="000E6718">
      <w:pPr>
        <w:ind w:left="2832" w:firstLine="708"/>
        <w:rPr>
          <w:rFonts w:ascii="Marianne" w:eastAsia="Calibri" w:hAnsi="Marianne"/>
          <w:b/>
          <w:sz w:val="30"/>
          <w:szCs w:val="30"/>
        </w:rPr>
      </w:pPr>
      <w:bookmarkStart w:id="0" w:name="_GoBack"/>
      <w:r w:rsidRPr="00E11344">
        <w:rPr>
          <w:rFonts w:ascii="Marianne" w:eastAsia="Calibri" w:hAnsi="Marianne"/>
          <w:b/>
          <w:sz w:val="30"/>
          <w:szCs w:val="30"/>
        </w:rPr>
        <w:t>Tableau de synthèse des manuels de lecture</w:t>
      </w:r>
      <w:r w:rsidR="007B0B23" w:rsidRPr="00E11344">
        <w:rPr>
          <w:rFonts w:ascii="Marianne" w:eastAsia="Calibri" w:hAnsi="Marianne"/>
          <w:b/>
          <w:sz w:val="30"/>
          <w:szCs w:val="30"/>
        </w:rPr>
        <w:t xml:space="preserve"> CE1</w:t>
      </w:r>
    </w:p>
    <w:bookmarkEnd w:id="0"/>
    <w:p w:rsidR="00891A5B" w:rsidRPr="00822AA4" w:rsidRDefault="00891A5B" w:rsidP="000E6718">
      <w:pPr>
        <w:ind w:left="2832" w:firstLine="708"/>
        <w:rPr>
          <w:rFonts w:ascii="Marianne" w:eastAsia="Calibri" w:hAnsi="Marianne"/>
          <w:b/>
          <w:sz w:val="20"/>
          <w:szCs w:val="20"/>
        </w:rPr>
      </w:pPr>
    </w:p>
    <w:tbl>
      <w:tblPr>
        <w:tblStyle w:val="Grilledutableau"/>
        <w:tblpPr w:leftFromText="141" w:rightFromText="141" w:vertAnchor="page" w:horzAnchor="margin" w:tblpY="1704"/>
        <w:tblW w:w="4925" w:type="pct"/>
        <w:tblLayout w:type="fixed"/>
        <w:tblLook w:val="04A0" w:firstRow="1" w:lastRow="0" w:firstColumn="1" w:lastColumn="0" w:noHBand="0" w:noVBand="1"/>
      </w:tblPr>
      <w:tblGrid>
        <w:gridCol w:w="1784"/>
        <w:gridCol w:w="2555"/>
        <w:gridCol w:w="2555"/>
        <w:gridCol w:w="2555"/>
        <w:gridCol w:w="2555"/>
        <w:gridCol w:w="1701"/>
      </w:tblGrid>
      <w:tr w:rsidR="00891A5B" w:rsidRPr="007B0B23" w:rsidTr="0055269E">
        <w:tc>
          <w:tcPr>
            <w:tcW w:w="1784"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hAnsi="Marianne"/>
                <w:b/>
                <w:sz w:val="24"/>
                <w:szCs w:val="24"/>
              </w:rPr>
            </w:pPr>
            <w:r w:rsidRPr="007B0B23">
              <w:rPr>
                <w:rFonts w:ascii="Marianne" w:eastAsia="Calibri" w:hAnsi="Marianne"/>
                <w:b/>
                <w:sz w:val="24"/>
                <w:szCs w:val="24"/>
              </w:rPr>
              <w:t>Manuel</w:t>
            </w:r>
          </w:p>
        </w:tc>
        <w:tc>
          <w:tcPr>
            <w:tcW w:w="2555"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hAnsi="Marianne"/>
                <w:b/>
                <w:sz w:val="24"/>
                <w:szCs w:val="24"/>
              </w:rPr>
            </w:pPr>
            <w:r w:rsidRPr="007B0B23">
              <w:rPr>
                <w:rFonts w:ascii="Marianne" w:eastAsia="Calibri" w:hAnsi="Marianne"/>
                <w:b/>
                <w:sz w:val="24"/>
                <w:szCs w:val="24"/>
              </w:rPr>
              <w:t>Conformité au guide</w:t>
            </w:r>
          </w:p>
        </w:tc>
        <w:tc>
          <w:tcPr>
            <w:tcW w:w="2555"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hAnsi="Marianne"/>
                <w:b/>
                <w:sz w:val="24"/>
                <w:szCs w:val="24"/>
              </w:rPr>
            </w:pPr>
            <w:r w:rsidRPr="007B0B23">
              <w:rPr>
                <w:rFonts w:ascii="Marianne" w:eastAsia="Calibri" w:hAnsi="Marianne"/>
                <w:b/>
                <w:sz w:val="24"/>
                <w:szCs w:val="24"/>
              </w:rPr>
              <w:t>Automatisation des correspondances graphèmes-phonèmes</w:t>
            </w:r>
          </w:p>
        </w:tc>
        <w:tc>
          <w:tcPr>
            <w:tcW w:w="2555"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hAnsi="Marianne"/>
                <w:b/>
                <w:sz w:val="24"/>
                <w:szCs w:val="24"/>
              </w:rPr>
            </w:pPr>
            <w:r w:rsidRPr="007B0B23">
              <w:rPr>
                <w:rFonts w:ascii="Marianne" w:eastAsia="Calibri" w:hAnsi="Marianne"/>
                <w:b/>
                <w:sz w:val="24"/>
                <w:szCs w:val="24"/>
              </w:rPr>
              <w:t>Textes pour travailler la compréhension</w:t>
            </w:r>
          </w:p>
        </w:tc>
        <w:tc>
          <w:tcPr>
            <w:tcW w:w="2555"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hAnsi="Marianne"/>
                <w:b/>
                <w:sz w:val="24"/>
                <w:szCs w:val="24"/>
              </w:rPr>
            </w:pPr>
            <w:r w:rsidRPr="007B0B23">
              <w:rPr>
                <w:rFonts w:ascii="Marianne" w:eastAsia="Calibri" w:hAnsi="Marianne"/>
                <w:b/>
                <w:sz w:val="24"/>
                <w:szCs w:val="24"/>
              </w:rPr>
              <w:t>Activités d’écriture en lien avec les activités de lecture</w:t>
            </w:r>
          </w:p>
        </w:tc>
        <w:tc>
          <w:tcPr>
            <w:tcW w:w="1701" w:type="dxa"/>
            <w:tcBorders>
              <w:top w:val="single" w:sz="36" w:space="0" w:color="000000"/>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eastAsia="Calibri" w:hAnsi="Marianne"/>
                <w:b/>
                <w:sz w:val="24"/>
                <w:szCs w:val="24"/>
              </w:rPr>
            </w:pPr>
            <w:r w:rsidRPr="007B0B23">
              <w:rPr>
                <w:rFonts w:ascii="Marianne" w:eastAsia="Calibri" w:hAnsi="Marianne"/>
                <w:b/>
                <w:sz w:val="24"/>
                <w:szCs w:val="24"/>
              </w:rPr>
              <w:t>Séances spécifiques en étude de la langue</w:t>
            </w:r>
          </w:p>
        </w:tc>
      </w:tr>
      <w:tr w:rsidR="00891A5B" w:rsidRPr="007B0B23" w:rsidTr="0055269E">
        <w:tc>
          <w:tcPr>
            <w:tcW w:w="1784" w:type="dxa"/>
            <w:tcBorders>
              <w:top w:val="single" w:sz="36" w:space="0" w:color="000000"/>
              <w:left w:val="single" w:sz="36" w:space="0" w:color="000000"/>
              <w:bottom w:val="nil"/>
              <w:right w:val="nil"/>
            </w:tcBorders>
            <w:vAlign w:val="center"/>
          </w:tcPr>
          <w:p w:rsidR="007C58CF" w:rsidRPr="00D76D96" w:rsidRDefault="00891A5B" w:rsidP="00E11344">
            <w:pPr>
              <w:spacing w:after="0" w:line="240" w:lineRule="auto"/>
              <w:rPr>
                <w:rFonts w:ascii="Marianne" w:eastAsia="Calibri" w:hAnsi="Marianne"/>
                <w:b/>
                <w:i/>
                <w:sz w:val="20"/>
                <w:szCs w:val="20"/>
              </w:rPr>
            </w:pPr>
            <w:r w:rsidRPr="00D76D96">
              <w:rPr>
                <w:rFonts w:ascii="Marianne" w:eastAsia="Calibri" w:hAnsi="Marianne"/>
                <w:b/>
                <w:i/>
                <w:sz w:val="20"/>
                <w:szCs w:val="20"/>
              </w:rPr>
              <w:t>A Moi de lire CE1</w:t>
            </w:r>
            <w:r w:rsidRPr="00D76D96">
              <w:rPr>
                <w:rFonts w:ascii="Calibri" w:eastAsia="Calibri" w:hAnsi="Calibri" w:cs="Calibri"/>
                <w:b/>
                <w:i/>
                <w:sz w:val="20"/>
                <w:szCs w:val="20"/>
              </w:rPr>
              <w:t> </w:t>
            </w:r>
            <w:r w:rsidRPr="00D76D96">
              <w:rPr>
                <w:rFonts w:ascii="Marianne" w:eastAsia="Calibri" w:hAnsi="Marianne"/>
                <w:b/>
                <w:i/>
                <w:sz w:val="20"/>
                <w:szCs w:val="20"/>
              </w:rPr>
              <w:t>!</w:t>
            </w:r>
            <w:r w:rsidR="00E11344">
              <w:rPr>
                <w:rFonts w:ascii="Marianne" w:eastAsia="Calibri" w:hAnsi="Marianne"/>
                <w:b/>
                <w:i/>
                <w:sz w:val="20"/>
                <w:szCs w:val="20"/>
              </w:rPr>
              <w:t xml:space="preserve"> </w:t>
            </w:r>
            <w:proofErr w:type="gramStart"/>
            <w:r w:rsidR="00E11344">
              <w:rPr>
                <w:rFonts w:ascii="Marianne" w:eastAsia="Calibri" w:hAnsi="Marianne"/>
                <w:b/>
                <w:sz w:val="20"/>
                <w:szCs w:val="20"/>
              </w:rPr>
              <w:t>Magnard</w:t>
            </w:r>
            <w:proofErr w:type="gramEnd"/>
            <w:r w:rsidR="00E11344">
              <w:rPr>
                <w:rFonts w:ascii="Marianne" w:eastAsia="Calibri" w:hAnsi="Marianne"/>
                <w:b/>
                <w:sz w:val="20"/>
                <w:szCs w:val="20"/>
              </w:rPr>
              <w:t>, 2021</w:t>
            </w: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b/>
                <w:sz w:val="24"/>
                <w:szCs w:val="24"/>
              </w:rPr>
            </w:pP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b/>
                <w:sz w:val="24"/>
                <w:szCs w:val="24"/>
              </w:rPr>
            </w:pP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b/>
                <w:sz w:val="24"/>
                <w:szCs w:val="24"/>
              </w:rPr>
            </w:pPr>
          </w:p>
        </w:tc>
        <w:tc>
          <w:tcPr>
            <w:tcW w:w="2555" w:type="dxa"/>
            <w:tcBorders>
              <w:top w:val="single" w:sz="36" w:space="0" w:color="000000"/>
              <w:left w:val="nil"/>
              <w:bottom w:val="nil"/>
              <w:right w:val="single" w:sz="36" w:space="0" w:color="000000"/>
            </w:tcBorders>
            <w:shd w:val="clear" w:color="auto" w:fill="70AD47" w:themeFill="accent6"/>
          </w:tcPr>
          <w:p w:rsidR="00891A5B" w:rsidRPr="007B0B23" w:rsidRDefault="00891A5B" w:rsidP="00891A5B">
            <w:pPr>
              <w:spacing w:after="0" w:line="240" w:lineRule="auto"/>
              <w:jc w:val="center"/>
              <w:rPr>
                <w:rFonts w:ascii="Marianne" w:eastAsia="Calibri" w:hAnsi="Marianne"/>
                <w:b/>
                <w:sz w:val="24"/>
                <w:szCs w:val="24"/>
              </w:rPr>
            </w:pPr>
          </w:p>
        </w:tc>
        <w:tc>
          <w:tcPr>
            <w:tcW w:w="1701" w:type="dxa"/>
            <w:tcBorders>
              <w:top w:val="single" w:sz="36" w:space="0" w:color="000000"/>
              <w:left w:val="single" w:sz="36" w:space="0" w:color="000000"/>
              <w:bottom w:val="nil"/>
              <w:right w:val="single" w:sz="36" w:space="0" w:color="000000"/>
            </w:tcBorders>
            <w:shd w:val="clear" w:color="auto" w:fill="70AD47" w:themeFill="accent6"/>
          </w:tcPr>
          <w:p w:rsidR="00891A5B" w:rsidRPr="007B0B23" w:rsidRDefault="00891A5B" w:rsidP="00891A5B">
            <w:pPr>
              <w:spacing w:after="0" w:line="240" w:lineRule="auto"/>
              <w:jc w:val="center"/>
              <w:rPr>
                <w:rFonts w:ascii="Marianne" w:eastAsia="Calibri" w:hAnsi="Marianne"/>
                <w:b/>
                <w:sz w:val="24"/>
                <w:szCs w:val="24"/>
              </w:rPr>
            </w:pPr>
          </w:p>
        </w:tc>
      </w:tr>
      <w:tr w:rsidR="00891A5B" w:rsidRPr="007B0B23" w:rsidTr="00E11344">
        <w:tc>
          <w:tcPr>
            <w:tcW w:w="1784" w:type="dxa"/>
            <w:tcBorders>
              <w:top w:val="nil"/>
              <w:left w:val="single" w:sz="36" w:space="0" w:color="000000"/>
              <w:bottom w:val="single" w:sz="36" w:space="0" w:color="000000"/>
              <w:right w:val="nil"/>
            </w:tcBorders>
            <w:vAlign w:val="center"/>
          </w:tcPr>
          <w:p w:rsidR="00891A5B" w:rsidRPr="00D76D96" w:rsidRDefault="00891A5B" w:rsidP="00891A5B">
            <w:pPr>
              <w:spacing w:after="0" w:line="240" w:lineRule="auto"/>
              <w:rPr>
                <w:rFonts w:ascii="Marianne" w:eastAsia="Calibri" w:hAnsi="Marianne"/>
                <w:b/>
                <w:i/>
                <w:sz w:val="20"/>
                <w:szCs w:val="20"/>
              </w:rPr>
            </w:pPr>
            <w:r>
              <w:rPr>
                <w:rFonts w:ascii="Marianne" w:eastAsia="Calibri" w:hAnsi="Marianne"/>
                <w:sz w:val="20"/>
                <w:szCs w:val="20"/>
              </w:rPr>
              <w:t>C</w:t>
            </w:r>
            <w:r w:rsidRPr="007B0B23">
              <w:rPr>
                <w:rFonts w:ascii="Marianne" w:eastAsia="Calibri" w:hAnsi="Marianne"/>
                <w:sz w:val="20"/>
                <w:szCs w:val="20"/>
              </w:rPr>
              <w:t>ommentaires</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b/>
                <w:sz w:val="20"/>
                <w:szCs w:val="20"/>
              </w:rPr>
            </w:pPr>
            <w:r w:rsidRPr="00883EB5">
              <w:rPr>
                <w:rFonts w:ascii="Marianne" w:eastAsia="Calibri" w:hAnsi="Marianne"/>
                <w:sz w:val="20"/>
                <w:szCs w:val="20"/>
              </w:rPr>
              <w:t>Méthode complète dans la continuité du CP</w:t>
            </w:r>
          </w:p>
        </w:tc>
        <w:tc>
          <w:tcPr>
            <w:tcW w:w="2555" w:type="dxa"/>
            <w:tcBorders>
              <w:top w:val="nil"/>
              <w:left w:val="nil"/>
              <w:bottom w:val="single" w:sz="36" w:space="0" w:color="000000"/>
              <w:right w:val="nil"/>
            </w:tcBorders>
          </w:tcPr>
          <w:p w:rsidR="00891A5B" w:rsidRPr="007B0B23" w:rsidRDefault="00891A5B" w:rsidP="00891A5B">
            <w:pPr>
              <w:spacing w:after="0" w:line="240" w:lineRule="auto"/>
              <w:jc w:val="center"/>
              <w:rPr>
                <w:rFonts w:ascii="Marianne" w:eastAsia="Calibri" w:hAnsi="Marianne"/>
                <w:b/>
                <w:sz w:val="24"/>
                <w:szCs w:val="24"/>
              </w:rPr>
            </w:pPr>
          </w:p>
        </w:tc>
        <w:tc>
          <w:tcPr>
            <w:tcW w:w="2555" w:type="dxa"/>
            <w:tcBorders>
              <w:top w:val="nil"/>
              <w:left w:val="nil"/>
              <w:bottom w:val="single" w:sz="36" w:space="0" w:color="000000"/>
              <w:right w:val="nil"/>
            </w:tcBorders>
          </w:tcPr>
          <w:p w:rsidR="00891A5B" w:rsidRPr="007B0B23" w:rsidRDefault="00891A5B" w:rsidP="00891A5B">
            <w:pPr>
              <w:spacing w:after="0" w:line="240" w:lineRule="auto"/>
              <w:jc w:val="center"/>
              <w:rPr>
                <w:rFonts w:ascii="Marianne" w:eastAsia="Calibri" w:hAnsi="Marianne"/>
                <w:b/>
                <w:sz w:val="24"/>
                <w:szCs w:val="24"/>
              </w:rPr>
            </w:pPr>
          </w:p>
        </w:tc>
        <w:tc>
          <w:tcPr>
            <w:tcW w:w="2555" w:type="dxa"/>
            <w:tcBorders>
              <w:top w:val="nil"/>
              <w:left w:val="nil"/>
              <w:bottom w:val="single" w:sz="36" w:space="0" w:color="000000"/>
              <w:right w:val="single" w:sz="36" w:space="0" w:color="000000"/>
            </w:tcBorders>
          </w:tcPr>
          <w:p w:rsidR="00891A5B" w:rsidRPr="007B0B23" w:rsidRDefault="00891A5B" w:rsidP="00891A5B">
            <w:pPr>
              <w:spacing w:after="0" w:line="240" w:lineRule="auto"/>
              <w:jc w:val="center"/>
              <w:rPr>
                <w:rFonts w:ascii="Marianne" w:eastAsia="Calibri" w:hAnsi="Marianne"/>
                <w:b/>
                <w:sz w:val="24"/>
                <w:szCs w:val="24"/>
              </w:rPr>
            </w:pPr>
          </w:p>
        </w:tc>
        <w:tc>
          <w:tcPr>
            <w:tcW w:w="1701" w:type="dxa"/>
            <w:tcBorders>
              <w:top w:val="nil"/>
              <w:left w:val="single" w:sz="36" w:space="0" w:color="000000"/>
              <w:bottom w:val="single" w:sz="36" w:space="0" w:color="000000"/>
              <w:right w:val="single" w:sz="36" w:space="0" w:color="000000"/>
            </w:tcBorders>
          </w:tcPr>
          <w:p w:rsidR="00891A5B" w:rsidRPr="007B0B23" w:rsidRDefault="00891A5B" w:rsidP="00891A5B">
            <w:pPr>
              <w:spacing w:after="0" w:line="240" w:lineRule="auto"/>
              <w:jc w:val="center"/>
              <w:rPr>
                <w:rFonts w:ascii="Marianne" w:eastAsia="Calibri" w:hAnsi="Marianne"/>
                <w:b/>
                <w:sz w:val="24"/>
                <w:szCs w:val="24"/>
              </w:rPr>
            </w:pPr>
          </w:p>
        </w:tc>
      </w:tr>
      <w:tr w:rsidR="00891A5B" w:rsidRPr="007B0B23" w:rsidTr="00891A5B">
        <w:tc>
          <w:tcPr>
            <w:tcW w:w="1784" w:type="dxa"/>
            <w:tcBorders>
              <w:top w:val="single" w:sz="36" w:space="0" w:color="000000"/>
              <w:left w:val="single" w:sz="36" w:space="0" w:color="000000"/>
              <w:bottom w:val="nil"/>
              <w:right w:val="nil"/>
            </w:tcBorders>
            <w:vAlign w:val="center"/>
          </w:tcPr>
          <w:p w:rsidR="00891A5B" w:rsidRPr="00E11344" w:rsidRDefault="00891A5B" w:rsidP="00891A5B">
            <w:pPr>
              <w:spacing w:after="0" w:line="240" w:lineRule="auto"/>
              <w:rPr>
                <w:rFonts w:ascii="Marianne" w:hAnsi="Marianne"/>
                <w:b/>
                <w:sz w:val="20"/>
                <w:szCs w:val="20"/>
              </w:rPr>
            </w:pPr>
            <w:r w:rsidRPr="007B0B23">
              <w:rPr>
                <w:rFonts w:ascii="Marianne" w:eastAsia="Calibri" w:hAnsi="Marianne"/>
                <w:b/>
                <w:i/>
                <w:sz w:val="20"/>
                <w:szCs w:val="20"/>
              </w:rPr>
              <w:t>Lecture Piano CE1</w:t>
            </w:r>
            <w:r w:rsidR="00E11344">
              <w:rPr>
                <w:rFonts w:ascii="Marianne" w:eastAsia="Calibri" w:hAnsi="Marianne"/>
                <w:b/>
                <w:sz w:val="20"/>
                <w:szCs w:val="20"/>
              </w:rPr>
              <w:t>, Retz, 2020</w:t>
            </w: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rPr>
            </w:pP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rPr>
            </w:pP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jc w:val="center"/>
              <w:rPr>
                <w:rFonts w:ascii="Marianne" w:eastAsia="Calibri" w:hAnsi="Marianne"/>
              </w:rPr>
            </w:pPr>
          </w:p>
        </w:tc>
        <w:tc>
          <w:tcPr>
            <w:tcW w:w="2555" w:type="dxa"/>
            <w:tcBorders>
              <w:top w:val="single" w:sz="36" w:space="0" w:color="000000"/>
              <w:left w:val="nil"/>
              <w:bottom w:val="nil"/>
              <w:right w:val="single" w:sz="36" w:space="0" w:color="000000"/>
            </w:tcBorders>
            <w:shd w:val="clear" w:color="auto" w:fill="ED7D31" w:themeFill="accent2"/>
          </w:tcPr>
          <w:p w:rsidR="00891A5B" w:rsidRPr="007B0B23" w:rsidRDefault="00891A5B" w:rsidP="00891A5B">
            <w:pPr>
              <w:spacing w:after="0" w:line="240" w:lineRule="auto"/>
              <w:jc w:val="center"/>
              <w:rPr>
                <w:rFonts w:ascii="Marianne" w:eastAsia="Calibri" w:hAnsi="Marianne"/>
              </w:rPr>
            </w:pPr>
          </w:p>
        </w:tc>
        <w:tc>
          <w:tcPr>
            <w:tcW w:w="1701" w:type="dxa"/>
            <w:tcBorders>
              <w:top w:val="single" w:sz="36" w:space="0" w:color="000000"/>
              <w:left w:val="nil"/>
              <w:bottom w:val="nil"/>
              <w:right w:val="single" w:sz="36" w:space="0" w:color="000000"/>
            </w:tcBorders>
            <w:shd w:val="clear" w:color="auto" w:fill="auto"/>
          </w:tcPr>
          <w:p w:rsidR="00891A5B" w:rsidRPr="007B0B23" w:rsidRDefault="00891A5B" w:rsidP="00891A5B">
            <w:pPr>
              <w:spacing w:after="0" w:line="240" w:lineRule="auto"/>
              <w:jc w:val="center"/>
              <w:rPr>
                <w:rFonts w:ascii="Marianne" w:eastAsia="Calibri" w:hAnsi="Marianne"/>
              </w:rPr>
            </w:pPr>
          </w:p>
        </w:tc>
      </w:tr>
      <w:tr w:rsidR="00891A5B" w:rsidRPr="007B0B23" w:rsidTr="00E11344">
        <w:tc>
          <w:tcPr>
            <w:tcW w:w="1784" w:type="dxa"/>
            <w:tcBorders>
              <w:top w:val="nil"/>
              <w:left w:val="single" w:sz="36" w:space="0" w:color="000000"/>
              <w:bottom w:val="single" w:sz="36" w:space="0" w:color="000000"/>
              <w:right w:val="nil"/>
            </w:tcBorders>
            <w:vAlign w:val="center"/>
          </w:tcPr>
          <w:p w:rsidR="00891A5B" w:rsidRPr="007B0B23" w:rsidRDefault="00891A5B" w:rsidP="00891A5B">
            <w:pPr>
              <w:spacing w:after="0" w:line="240" w:lineRule="auto"/>
              <w:rPr>
                <w:rFonts w:ascii="Marianne" w:eastAsia="Calibri" w:hAnsi="Marianne"/>
                <w:sz w:val="20"/>
                <w:szCs w:val="20"/>
              </w:rPr>
            </w:pPr>
            <w:r w:rsidRPr="007B0B23">
              <w:rPr>
                <w:rFonts w:ascii="Marianne" w:eastAsia="Calibri" w:hAnsi="Marianne"/>
                <w:sz w:val="20"/>
                <w:szCs w:val="20"/>
              </w:rPr>
              <w:t>Commentaires</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Méthode complète dans la continuité du CP</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Textes didactisés uniquement</w:t>
            </w:r>
          </w:p>
        </w:tc>
        <w:tc>
          <w:tcPr>
            <w:tcW w:w="2555" w:type="dxa"/>
            <w:tcBorders>
              <w:top w:val="nil"/>
              <w:left w:val="nil"/>
              <w:bottom w:val="single" w:sz="36" w:space="0" w:color="000000"/>
              <w:right w:val="single" w:sz="36" w:space="0" w:color="000000"/>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Peu d’activités de production d’écrits</w:t>
            </w:r>
          </w:p>
        </w:tc>
        <w:tc>
          <w:tcPr>
            <w:tcW w:w="1701" w:type="dxa"/>
            <w:tcBorders>
              <w:top w:val="nil"/>
              <w:left w:val="nil"/>
              <w:bottom w:val="single" w:sz="36" w:space="0" w:color="000000"/>
              <w:right w:val="single" w:sz="36" w:space="0" w:color="000000"/>
            </w:tcBorders>
            <w:vAlign w:val="center"/>
          </w:tcPr>
          <w:p w:rsidR="00891A5B" w:rsidRPr="00883EB5" w:rsidRDefault="00891A5B" w:rsidP="00E11344">
            <w:pPr>
              <w:spacing w:after="0" w:line="240" w:lineRule="auto"/>
              <w:rPr>
                <w:rFonts w:ascii="Marianne" w:eastAsia="Calibri" w:hAnsi="Marianne"/>
                <w:i/>
                <w:sz w:val="20"/>
                <w:szCs w:val="20"/>
              </w:rPr>
            </w:pPr>
            <w:r w:rsidRPr="00883EB5">
              <w:rPr>
                <w:rFonts w:ascii="Marianne" w:eastAsia="Calibri" w:hAnsi="Marianne"/>
                <w:sz w:val="20"/>
                <w:szCs w:val="20"/>
              </w:rPr>
              <w:t xml:space="preserve">A compléter avec </w:t>
            </w:r>
            <w:r w:rsidRPr="00883EB5">
              <w:rPr>
                <w:rFonts w:ascii="Marianne" w:eastAsia="Calibri" w:hAnsi="Marianne"/>
                <w:i/>
                <w:sz w:val="20"/>
                <w:szCs w:val="20"/>
              </w:rPr>
              <w:t>Cléo</w:t>
            </w:r>
            <w:r w:rsidRPr="00883EB5">
              <w:rPr>
                <w:rFonts w:ascii="Marianne" w:eastAsia="Calibri" w:hAnsi="Marianne"/>
                <w:sz w:val="20"/>
                <w:szCs w:val="20"/>
              </w:rPr>
              <w:t xml:space="preserve"> ou </w:t>
            </w:r>
            <w:r w:rsidRPr="00883EB5">
              <w:rPr>
                <w:rFonts w:ascii="Marianne" w:eastAsia="Calibri" w:hAnsi="Marianne"/>
                <w:i/>
                <w:sz w:val="20"/>
                <w:szCs w:val="20"/>
              </w:rPr>
              <w:t>Picot</w:t>
            </w:r>
          </w:p>
        </w:tc>
      </w:tr>
      <w:tr w:rsidR="00891A5B" w:rsidRPr="007B0B23" w:rsidTr="00891A5B">
        <w:tc>
          <w:tcPr>
            <w:tcW w:w="1784" w:type="dxa"/>
            <w:tcBorders>
              <w:top w:val="single" w:sz="36" w:space="0" w:color="000000"/>
              <w:left w:val="single" w:sz="36" w:space="0" w:color="000000"/>
              <w:bottom w:val="nil"/>
              <w:right w:val="nil"/>
            </w:tcBorders>
          </w:tcPr>
          <w:p w:rsidR="00891A5B" w:rsidRPr="00E11344" w:rsidRDefault="00891A5B" w:rsidP="00891A5B">
            <w:pPr>
              <w:spacing w:after="0" w:line="240" w:lineRule="auto"/>
              <w:rPr>
                <w:rFonts w:ascii="Marianne" w:eastAsia="Calibri" w:hAnsi="Marianne"/>
                <w:b/>
                <w:sz w:val="20"/>
                <w:szCs w:val="20"/>
              </w:rPr>
            </w:pPr>
            <w:r>
              <w:rPr>
                <w:rFonts w:ascii="Marianne" w:eastAsia="Calibri" w:hAnsi="Marianne"/>
                <w:b/>
                <w:i/>
                <w:sz w:val="20"/>
                <w:szCs w:val="20"/>
              </w:rPr>
              <w:t>Etincelles CE1</w:t>
            </w:r>
            <w:r w:rsidR="00E11344">
              <w:rPr>
                <w:rFonts w:ascii="Marianne" w:eastAsia="Calibri" w:hAnsi="Marianne"/>
                <w:b/>
                <w:sz w:val="20"/>
                <w:szCs w:val="20"/>
              </w:rPr>
              <w:t>, Hatier, 2019</w:t>
            </w:r>
          </w:p>
          <w:p w:rsidR="00891A5B" w:rsidRPr="007B0B23" w:rsidRDefault="00891A5B" w:rsidP="00891A5B">
            <w:pPr>
              <w:spacing w:after="0" w:line="240" w:lineRule="auto"/>
              <w:rPr>
                <w:rFonts w:ascii="Marianne" w:hAnsi="Marianne"/>
                <w:b/>
                <w:sz w:val="28"/>
                <w:szCs w:val="28"/>
              </w:rPr>
            </w:pPr>
          </w:p>
        </w:tc>
        <w:tc>
          <w:tcPr>
            <w:tcW w:w="2555" w:type="dxa"/>
            <w:tcBorders>
              <w:top w:val="single" w:sz="36" w:space="0" w:color="000000"/>
              <w:left w:val="nil"/>
              <w:bottom w:val="nil"/>
              <w:right w:val="nil"/>
            </w:tcBorders>
            <w:shd w:val="clear" w:color="auto" w:fill="ED7D31" w:themeFill="accent2"/>
          </w:tcPr>
          <w:p w:rsidR="00891A5B" w:rsidRPr="007B0B23" w:rsidRDefault="00891A5B" w:rsidP="00891A5B">
            <w:pPr>
              <w:spacing w:after="0" w:line="240" w:lineRule="auto"/>
              <w:jc w:val="center"/>
              <w:rPr>
                <w:rFonts w:ascii="Marianne" w:eastAsia="Calibri" w:hAnsi="Marianne"/>
              </w:rPr>
            </w:pPr>
          </w:p>
        </w:tc>
        <w:tc>
          <w:tcPr>
            <w:tcW w:w="2555" w:type="dxa"/>
            <w:tcBorders>
              <w:top w:val="single" w:sz="36" w:space="0" w:color="000000"/>
              <w:left w:val="nil"/>
              <w:bottom w:val="nil"/>
              <w:right w:val="nil"/>
            </w:tcBorders>
            <w:shd w:val="clear" w:color="auto" w:fill="ED7D31" w:themeFill="accent2"/>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nil"/>
            </w:tcBorders>
            <w:shd w:val="clear" w:color="auto" w:fill="ED7D31" w:themeFill="accent2"/>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single" w:sz="36" w:space="0" w:color="000000"/>
            </w:tcBorders>
            <w:shd w:val="clear" w:color="auto" w:fill="FF0000"/>
          </w:tcPr>
          <w:p w:rsidR="00891A5B" w:rsidRPr="007B0B23" w:rsidRDefault="00891A5B" w:rsidP="00891A5B">
            <w:pPr>
              <w:spacing w:after="0" w:line="240" w:lineRule="auto"/>
              <w:rPr>
                <w:rFonts w:ascii="Marianne" w:eastAsia="Calibri" w:hAnsi="Marianne"/>
              </w:rPr>
            </w:pPr>
          </w:p>
        </w:tc>
        <w:tc>
          <w:tcPr>
            <w:tcW w:w="1701" w:type="dxa"/>
            <w:tcBorders>
              <w:top w:val="single" w:sz="36" w:space="0" w:color="000000"/>
              <w:left w:val="nil"/>
              <w:bottom w:val="nil"/>
              <w:right w:val="single" w:sz="36" w:space="0" w:color="000000"/>
            </w:tcBorders>
            <w:shd w:val="clear" w:color="auto" w:fill="auto"/>
          </w:tcPr>
          <w:p w:rsidR="00891A5B" w:rsidRPr="007B0B23" w:rsidRDefault="00891A5B" w:rsidP="00891A5B">
            <w:pPr>
              <w:spacing w:after="0" w:line="240" w:lineRule="auto"/>
              <w:rPr>
                <w:rFonts w:ascii="Marianne" w:eastAsia="Calibri" w:hAnsi="Marianne"/>
              </w:rPr>
            </w:pPr>
          </w:p>
        </w:tc>
      </w:tr>
      <w:tr w:rsidR="00891A5B" w:rsidRPr="007B0B23" w:rsidTr="00E11344">
        <w:tc>
          <w:tcPr>
            <w:tcW w:w="1784" w:type="dxa"/>
            <w:tcBorders>
              <w:top w:val="nil"/>
              <w:left w:val="single" w:sz="36" w:space="0" w:color="000000"/>
              <w:bottom w:val="single" w:sz="36" w:space="0" w:color="000000"/>
              <w:right w:val="nil"/>
            </w:tcBorders>
            <w:vAlign w:val="center"/>
          </w:tcPr>
          <w:p w:rsidR="00891A5B" w:rsidRPr="007B0B23" w:rsidRDefault="00891A5B" w:rsidP="00891A5B">
            <w:pPr>
              <w:spacing w:after="0" w:line="240" w:lineRule="auto"/>
              <w:rPr>
                <w:rFonts w:ascii="Marianne" w:eastAsia="Calibri" w:hAnsi="Marianne"/>
              </w:rPr>
            </w:pPr>
            <w:r>
              <w:rPr>
                <w:rFonts w:ascii="Marianne" w:eastAsia="Calibri" w:hAnsi="Marianne"/>
                <w:sz w:val="20"/>
                <w:szCs w:val="20"/>
              </w:rPr>
              <w:t>C</w:t>
            </w:r>
            <w:r w:rsidRPr="00D76D96">
              <w:rPr>
                <w:rFonts w:ascii="Marianne" w:eastAsia="Calibri" w:hAnsi="Marianne"/>
                <w:sz w:val="20"/>
                <w:szCs w:val="20"/>
              </w:rPr>
              <w:t>ommentaires</w:t>
            </w:r>
          </w:p>
        </w:tc>
        <w:tc>
          <w:tcPr>
            <w:tcW w:w="2555" w:type="dxa"/>
            <w:tcBorders>
              <w:top w:val="nil"/>
              <w:left w:val="nil"/>
              <w:bottom w:val="single" w:sz="36" w:space="0" w:color="000000"/>
              <w:right w:val="nil"/>
            </w:tcBorders>
          </w:tcPr>
          <w:p w:rsidR="00891A5B" w:rsidRPr="007B0B23" w:rsidRDefault="00891A5B" w:rsidP="00891A5B">
            <w:pPr>
              <w:spacing w:after="0" w:line="240" w:lineRule="auto"/>
              <w:rPr>
                <w:rFonts w:ascii="Marianne" w:eastAsia="Calibri" w:hAnsi="Marianne"/>
              </w:rPr>
            </w:pP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Entrée phonémique</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Pas d’articulation lire-écrire au service de la compréhension</w:t>
            </w:r>
          </w:p>
        </w:tc>
        <w:tc>
          <w:tcPr>
            <w:tcW w:w="2555" w:type="dxa"/>
            <w:tcBorders>
              <w:top w:val="nil"/>
              <w:left w:val="nil"/>
              <w:bottom w:val="single" w:sz="36" w:space="0" w:color="000000"/>
              <w:right w:val="single" w:sz="36" w:space="0" w:color="000000"/>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Absence d’écrits courts et de projets d’écriture</w:t>
            </w:r>
          </w:p>
        </w:tc>
        <w:tc>
          <w:tcPr>
            <w:tcW w:w="1701" w:type="dxa"/>
            <w:tcBorders>
              <w:top w:val="nil"/>
              <w:left w:val="nil"/>
              <w:bottom w:val="single" w:sz="36" w:space="0" w:color="000000"/>
              <w:right w:val="single" w:sz="36" w:space="0" w:color="000000"/>
            </w:tcBorders>
          </w:tcPr>
          <w:p w:rsidR="00891A5B" w:rsidRPr="00883EB5" w:rsidRDefault="00891A5B" w:rsidP="00891A5B">
            <w:pPr>
              <w:spacing w:after="0" w:line="240" w:lineRule="auto"/>
              <w:rPr>
                <w:rFonts w:ascii="Marianne" w:eastAsia="Calibri" w:hAnsi="Marianne"/>
                <w:sz w:val="20"/>
                <w:szCs w:val="20"/>
              </w:rPr>
            </w:pPr>
          </w:p>
        </w:tc>
      </w:tr>
      <w:tr w:rsidR="00891A5B" w:rsidRPr="007B0B23" w:rsidTr="00891A5B">
        <w:tc>
          <w:tcPr>
            <w:tcW w:w="1784" w:type="dxa"/>
            <w:tcBorders>
              <w:top w:val="single" w:sz="36" w:space="0" w:color="000000"/>
              <w:left w:val="single" w:sz="36" w:space="0" w:color="000000"/>
              <w:bottom w:val="nil"/>
              <w:right w:val="nil"/>
            </w:tcBorders>
          </w:tcPr>
          <w:p w:rsidR="00891A5B" w:rsidRPr="00E11344" w:rsidRDefault="00891A5B" w:rsidP="00891A5B">
            <w:pPr>
              <w:spacing w:after="0" w:line="240" w:lineRule="auto"/>
              <w:rPr>
                <w:rFonts w:ascii="Marianne" w:eastAsia="Calibri" w:hAnsi="Marianne"/>
                <w:b/>
                <w:sz w:val="20"/>
                <w:szCs w:val="20"/>
              </w:rPr>
            </w:pPr>
            <w:r w:rsidRPr="00D21BDD">
              <w:rPr>
                <w:rFonts w:ascii="Marianne" w:eastAsia="Calibri" w:hAnsi="Marianne"/>
                <w:b/>
                <w:i/>
                <w:sz w:val="20"/>
                <w:szCs w:val="20"/>
              </w:rPr>
              <w:t>Mandarine CE1</w:t>
            </w:r>
            <w:r w:rsidR="00E11344">
              <w:rPr>
                <w:rFonts w:ascii="Marianne" w:eastAsia="Calibri" w:hAnsi="Marianne"/>
                <w:b/>
                <w:sz w:val="20"/>
                <w:szCs w:val="20"/>
              </w:rPr>
              <w:t>, Hatier, 2019</w:t>
            </w:r>
          </w:p>
          <w:p w:rsidR="00891A5B" w:rsidRPr="00D21BDD" w:rsidRDefault="00891A5B" w:rsidP="00891A5B">
            <w:pPr>
              <w:spacing w:after="0" w:line="240" w:lineRule="auto"/>
              <w:rPr>
                <w:rFonts w:ascii="Marianne" w:hAnsi="Marianne"/>
                <w:b/>
                <w:i/>
                <w:sz w:val="20"/>
                <w:szCs w:val="20"/>
              </w:rPr>
            </w:pPr>
          </w:p>
        </w:tc>
        <w:tc>
          <w:tcPr>
            <w:tcW w:w="2555" w:type="dxa"/>
            <w:tcBorders>
              <w:top w:val="single" w:sz="36" w:space="0" w:color="000000"/>
              <w:left w:val="nil"/>
              <w:bottom w:val="nil"/>
              <w:right w:val="nil"/>
            </w:tcBorders>
            <w:shd w:val="clear" w:color="auto" w:fill="FF0000"/>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nil"/>
            </w:tcBorders>
            <w:shd w:val="clear" w:color="auto" w:fill="FF0000"/>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nil"/>
            </w:tcBorders>
            <w:shd w:val="clear" w:color="auto" w:fill="70AD47" w:themeFill="accent6"/>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single" w:sz="36" w:space="0" w:color="000000"/>
            </w:tcBorders>
            <w:shd w:val="clear" w:color="auto" w:fill="70AD47" w:themeFill="accent6"/>
          </w:tcPr>
          <w:p w:rsidR="00891A5B" w:rsidRPr="007B0B23" w:rsidRDefault="00891A5B" w:rsidP="00891A5B">
            <w:pPr>
              <w:spacing w:after="0" w:line="240" w:lineRule="auto"/>
              <w:rPr>
                <w:rFonts w:ascii="Marianne" w:eastAsia="Calibri" w:hAnsi="Marianne"/>
              </w:rPr>
            </w:pPr>
          </w:p>
        </w:tc>
        <w:tc>
          <w:tcPr>
            <w:tcW w:w="1701" w:type="dxa"/>
            <w:tcBorders>
              <w:top w:val="single" w:sz="36" w:space="0" w:color="000000"/>
              <w:left w:val="nil"/>
              <w:bottom w:val="nil"/>
              <w:right w:val="single" w:sz="36" w:space="0" w:color="000000"/>
            </w:tcBorders>
            <w:shd w:val="clear" w:color="auto" w:fill="70AD47" w:themeFill="accent6"/>
          </w:tcPr>
          <w:p w:rsidR="00891A5B" w:rsidRPr="007B0B23" w:rsidRDefault="00891A5B" w:rsidP="00891A5B">
            <w:pPr>
              <w:spacing w:after="0" w:line="240" w:lineRule="auto"/>
              <w:rPr>
                <w:rFonts w:ascii="Marianne" w:eastAsia="Calibri" w:hAnsi="Marianne"/>
              </w:rPr>
            </w:pPr>
          </w:p>
        </w:tc>
      </w:tr>
      <w:tr w:rsidR="00891A5B" w:rsidRPr="007B0B23" w:rsidTr="00E11344">
        <w:tc>
          <w:tcPr>
            <w:tcW w:w="1784" w:type="dxa"/>
            <w:tcBorders>
              <w:top w:val="nil"/>
              <w:left w:val="single" w:sz="36" w:space="0" w:color="000000"/>
              <w:bottom w:val="single" w:sz="36" w:space="0" w:color="000000"/>
              <w:right w:val="nil"/>
            </w:tcBorders>
            <w:vAlign w:val="center"/>
          </w:tcPr>
          <w:p w:rsidR="00891A5B" w:rsidRPr="00D21BDD" w:rsidRDefault="00891A5B" w:rsidP="00891A5B">
            <w:pPr>
              <w:spacing w:after="0" w:line="240" w:lineRule="auto"/>
              <w:rPr>
                <w:rFonts w:ascii="Marianne" w:eastAsia="Calibri" w:hAnsi="Marianne"/>
                <w:sz w:val="20"/>
                <w:szCs w:val="20"/>
              </w:rPr>
            </w:pPr>
            <w:r w:rsidRPr="00D21BDD">
              <w:rPr>
                <w:rFonts w:ascii="Marianne" w:eastAsia="Calibri" w:hAnsi="Marianne"/>
                <w:sz w:val="20"/>
                <w:szCs w:val="20"/>
              </w:rPr>
              <w:t>Commentaires</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Pas de continuité avec un manuel CP</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Entrée phonémique</w:t>
            </w:r>
          </w:p>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Pas d’apprentissage de graphèmes complexes</w:t>
            </w:r>
          </w:p>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Pas d’entraînement au décodage</w:t>
            </w:r>
          </w:p>
        </w:tc>
        <w:tc>
          <w:tcPr>
            <w:tcW w:w="2555" w:type="dxa"/>
            <w:tcBorders>
              <w:top w:val="nil"/>
              <w:left w:val="nil"/>
              <w:bottom w:val="single" w:sz="36" w:space="0" w:color="000000"/>
              <w:right w:val="nil"/>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Enseignement explicite des stratégies de compréhension</w:t>
            </w:r>
          </w:p>
        </w:tc>
        <w:tc>
          <w:tcPr>
            <w:tcW w:w="2555" w:type="dxa"/>
            <w:tcBorders>
              <w:top w:val="nil"/>
              <w:left w:val="nil"/>
              <w:bottom w:val="single" w:sz="36" w:space="0" w:color="000000"/>
              <w:right w:val="single" w:sz="36" w:space="0" w:color="000000"/>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Ecrits courts et projets d’écriture en lien avec la lecture-compréhension</w:t>
            </w:r>
          </w:p>
        </w:tc>
        <w:tc>
          <w:tcPr>
            <w:tcW w:w="1701" w:type="dxa"/>
            <w:tcBorders>
              <w:top w:val="nil"/>
              <w:left w:val="nil"/>
              <w:bottom w:val="single" w:sz="36" w:space="0" w:color="000000"/>
              <w:right w:val="single" w:sz="36" w:space="0" w:color="000000"/>
            </w:tcBorders>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En lien avec les textes de lecture</w:t>
            </w:r>
          </w:p>
        </w:tc>
      </w:tr>
      <w:tr w:rsidR="00891A5B" w:rsidRPr="007B0B23" w:rsidTr="00891A5B">
        <w:trPr>
          <w:trHeight w:val="575"/>
        </w:trPr>
        <w:tc>
          <w:tcPr>
            <w:tcW w:w="1784" w:type="dxa"/>
            <w:tcBorders>
              <w:top w:val="single" w:sz="36" w:space="0" w:color="000000"/>
              <w:left w:val="single" w:sz="36" w:space="0" w:color="000000"/>
              <w:bottom w:val="nil"/>
              <w:right w:val="nil"/>
            </w:tcBorders>
          </w:tcPr>
          <w:p w:rsidR="00891A5B" w:rsidRPr="00E11344" w:rsidRDefault="00891A5B" w:rsidP="00891A5B">
            <w:pPr>
              <w:spacing w:after="0" w:line="240" w:lineRule="auto"/>
              <w:rPr>
                <w:rFonts w:ascii="Marianne" w:eastAsia="Calibri" w:hAnsi="Marianne"/>
                <w:b/>
                <w:sz w:val="20"/>
                <w:szCs w:val="20"/>
              </w:rPr>
            </w:pPr>
            <w:proofErr w:type="spellStart"/>
            <w:r w:rsidRPr="00D21BDD">
              <w:rPr>
                <w:rFonts w:ascii="Marianne" w:eastAsia="Calibri" w:hAnsi="Marianne"/>
                <w:b/>
                <w:i/>
                <w:sz w:val="20"/>
                <w:szCs w:val="20"/>
              </w:rPr>
              <w:t>Taoki</w:t>
            </w:r>
            <w:proofErr w:type="spellEnd"/>
            <w:r w:rsidRPr="00D21BDD">
              <w:rPr>
                <w:rFonts w:ascii="Marianne" w:eastAsia="Calibri" w:hAnsi="Marianne"/>
                <w:b/>
                <w:i/>
                <w:sz w:val="20"/>
                <w:szCs w:val="20"/>
              </w:rPr>
              <w:t xml:space="preserve"> CE1</w:t>
            </w:r>
            <w:r w:rsidR="00E11344">
              <w:rPr>
                <w:rFonts w:ascii="Marianne" w:eastAsia="Calibri" w:hAnsi="Marianne"/>
                <w:b/>
                <w:sz w:val="20"/>
                <w:szCs w:val="20"/>
              </w:rPr>
              <w:t>, Istra, 2020</w:t>
            </w:r>
          </w:p>
        </w:tc>
        <w:tc>
          <w:tcPr>
            <w:tcW w:w="2555" w:type="dxa"/>
            <w:tcBorders>
              <w:top w:val="single" w:sz="36" w:space="0" w:color="000000"/>
              <w:left w:val="nil"/>
              <w:bottom w:val="nil"/>
              <w:right w:val="nil"/>
            </w:tcBorders>
            <w:shd w:val="clear" w:color="auto" w:fill="FF0000"/>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nil"/>
            </w:tcBorders>
            <w:shd w:val="clear" w:color="auto" w:fill="FF0000"/>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nil"/>
            </w:tcBorders>
            <w:shd w:val="clear" w:color="auto" w:fill="FF0000"/>
          </w:tcPr>
          <w:p w:rsidR="00891A5B" w:rsidRPr="007B0B23" w:rsidRDefault="00891A5B" w:rsidP="00891A5B">
            <w:pPr>
              <w:spacing w:after="0" w:line="240" w:lineRule="auto"/>
              <w:rPr>
                <w:rFonts w:ascii="Marianne" w:eastAsia="Calibri" w:hAnsi="Marianne"/>
              </w:rPr>
            </w:pPr>
          </w:p>
        </w:tc>
        <w:tc>
          <w:tcPr>
            <w:tcW w:w="2555" w:type="dxa"/>
            <w:tcBorders>
              <w:top w:val="single" w:sz="36" w:space="0" w:color="000000"/>
              <w:left w:val="nil"/>
              <w:bottom w:val="nil"/>
              <w:right w:val="single" w:sz="36" w:space="0" w:color="auto"/>
            </w:tcBorders>
            <w:shd w:val="clear" w:color="auto" w:fill="70AD47" w:themeFill="accent6"/>
          </w:tcPr>
          <w:p w:rsidR="00891A5B" w:rsidRPr="007B0B23" w:rsidRDefault="00891A5B" w:rsidP="00891A5B">
            <w:pPr>
              <w:spacing w:after="0" w:line="240" w:lineRule="auto"/>
              <w:rPr>
                <w:rFonts w:ascii="Marianne" w:eastAsia="Calibri" w:hAnsi="Marianne"/>
              </w:rPr>
            </w:pPr>
          </w:p>
        </w:tc>
        <w:tc>
          <w:tcPr>
            <w:tcW w:w="1701" w:type="dxa"/>
            <w:tcBorders>
              <w:top w:val="single" w:sz="36" w:space="0" w:color="000000"/>
              <w:left w:val="single" w:sz="36" w:space="0" w:color="auto"/>
              <w:bottom w:val="nil"/>
              <w:right w:val="single" w:sz="36" w:space="0" w:color="000000"/>
            </w:tcBorders>
            <w:shd w:val="clear" w:color="auto" w:fill="70AD47" w:themeFill="accent6"/>
          </w:tcPr>
          <w:p w:rsidR="00891A5B" w:rsidRPr="007B0B23" w:rsidRDefault="00891A5B" w:rsidP="00891A5B">
            <w:pPr>
              <w:spacing w:after="0" w:line="240" w:lineRule="auto"/>
              <w:rPr>
                <w:rFonts w:ascii="Marianne" w:eastAsia="Calibri" w:hAnsi="Marianne"/>
              </w:rPr>
            </w:pPr>
          </w:p>
        </w:tc>
      </w:tr>
      <w:tr w:rsidR="00891A5B" w:rsidRPr="007B0B23" w:rsidTr="00E11344">
        <w:trPr>
          <w:trHeight w:val="1615"/>
        </w:trPr>
        <w:tc>
          <w:tcPr>
            <w:tcW w:w="1784" w:type="dxa"/>
            <w:tcBorders>
              <w:top w:val="nil"/>
              <w:left w:val="single" w:sz="36" w:space="0" w:color="000000"/>
              <w:bottom w:val="single" w:sz="36" w:space="0" w:color="auto"/>
              <w:right w:val="nil"/>
            </w:tcBorders>
            <w:vAlign w:val="center"/>
          </w:tcPr>
          <w:p w:rsidR="00891A5B" w:rsidRPr="00D21BDD" w:rsidRDefault="00891A5B" w:rsidP="00891A5B">
            <w:pPr>
              <w:spacing w:after="0" w:line="240" w:lineRule="auto"/>
              <w:rPr>
                <w:rFonts w:ascii="Marianne" w:eastAsia="Calibri" w:hAnsi="Marianne"/>
                <w:b/>
                <w:i/>
                <w:sz w:val="20"/>
                <w:szCs w:val="20"/>
              </w:rPr>
            </w:pPr>
            <w:r w:rsidRPr="00D21BDD">
              <w:rPr>
                <w:rFonts w:ascii="Marianne" w:eastAsia="Calibri" w:hAnsi="Marianne"/>
                <w:sz w:val="20"/>
                <w:szCs w:val="20"/>
              </w:rPr>
              <w:lastRenderedPageBreak/>
              <w:t>Commentaires</w:t>
            </w:r>
          </w:p>
        </w:tc>
        <w:tc>
          <w:tcPr>
            <w:tcW w:w="2555" w:type="dxa"/>
            <w:tcBorders>
              <w:top w:val="nil"/>
              <w:left w:val="nil"/>
              <w:bottom w:val="single" w:sz="36" w:space="0" w:color="auto"/>
              <w:right w:val="nil"/>
            </w:tcBorders>
            <w:shd w:val="clear" w:color="auto" w:fill="FFFFFF" w:themeFill="background1"/>
            <w:vAlign w:val="center"/>
          </w:tcPr>
          <w:p w:rsidR="00891A5B" w:rsidRPr="00883EB5" w:rsidRDefault="00891A5B" w:rsidP="00E11344">
            <w:pPr>
              <w:spacing w:after="0" w:line="240" w:lineRule="auto"/>
              <w:rPr>
                <w:rFonts w:ascii="Marianne" w:eastAsia="Calibri" w:hAnsi="Marianne"/>
                <w:sz w:val="20"/>
                <w:szCs w:val="20"/>
              </w:rPr>
            </w:pPr>
            <w:r>
              <w:rPr>
                <w:rFonts w:ascii="Marianne" w:eastAsia="Calibri" w:hAnsi="Marianne"/>
                <w:sz w:val="20"/>
                <w:szCs w:val="20"/>
              </w:rPr>
              <w:t>Pas</w:t>
            </w:r>
            <w:r w:rsidRPr="00883EB5">
              <w:rPr>
                <w:rFonts w:ascii="Marianne" w:eastAsia="Calibri" w:hAnsi="Marianne"/>
                <w:sz w:val="20"/>
                <w:szCs w:val="20"/>
              </w:rPr>
              <w:t xml:space="preserve"> dans la continuité </w:t>
            </w:r>
            <w:r>
              <w:rPr>
                <w:rFonts w:ascii="Marianne" w:eastAsia="Calibri" w:hAnsi="Marianne"/>
                <w:sz w:val="20"/>
                <w:szCs w:val="20"/>
              </w:rPr>
              <w:t>du manuel de</w:t>
            </w:r>
            <w:r w:rsidRPr="00883EB5">
              <w:rPr>
                <w:rFonts w:ascii="Marianne" w:eastAsia="Calibri" w:hAnsi="Marianne"/>
                <w:sz w:val="20"/>
                <w:szCs w:val="20"/>
              </w:rPr>
              <w:t xml:space="preserve"> CP</w:t>
            </w:r>
          </w:p>
        </w:tc>
        <w:tc>
          <w:tcPr>
            <w:tcW w:w="2555" w:type="dxa"/>
            <w:tcBorders>
              <w:top w:val="nil"/>
              <w:left w:val="nil"/>
              <w:bottom w:val="single" w:sz="36" w:space="0" w:color="auto"/>
              <w:right w:val="nil"/>
            </w:tcBorders>
            <w:shd w:val="clear" w:color="auto" w:fill="FFFFFF" w:themeFill="background1"/>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Pas d’enseignement systématique pour consolider l’apprentissage des graphèmes</w:t>
            </w:r>
          </w:p>
        </w:tc>
        <w:tc>
          <w:tcPr>
            <w:tcW w:w="2555" w:type="dxa"/>
            <w:tcBorders>
              <w:top w:val="nil"/>
              <w:left w:val="nil"/>
              <w:bottom w:val="single" w:sz="36" w:space="0" w:color="auto"/>
              <w:right w:val="nil"/>
            </w:tcBorders>
            <w:shd w:val="clear" w:color="auto" w:fill="FFFFFF" w:themeFill="background1"/>
            <w:vAlign w:val="center"/>
          </w:tcPr>
          <w:p w:rsidR="00891A5B" w:rsidRDefault="00891A5B" w:rsidP="00E11344">
            <w:pPr>
              <w:spacing w:after="0" w:line="240" w:lineRule="auto"/>
              <w:rPr>
                <w:rFonts w:ascii="Marianne" w:eastAsia="Calibri" w:hAnsi="Marianne"/>
                <w:sz w:val="20"/>
                <w:szCs w:val="20"/>
              </w:rPr>
            </w:pPr>
            <w:r>
              <w:rPr>
                <w:rFonts w:ascii="Marianne" w:eastAsia="Calibri" w:hAnsi="Marianne"/>
                <w:sz w:val="20"/>
                <w:szCs w:val="20"/>
              </w:rPr>
              <w:t>Pas d’enseignement explicite des stratégies de compréhension</w:t>
            </w:r>
          </w:p>
          <w:p w:rsidR="00891A5B" w:rsidRPr="00883EB5" w:rsidRDefault="00891A5B" w:rsidP="00E11344">
            <w:pPr>
              <w:spacing w:after="0" w:line="240" w:lineRule="auto"/>
              <w:rPr>
                <w:rFonts w:ascii="Marianne" w:eastAsia="Calibri" w:hAnsi="Marianne"/>
                <w:sz w:val="20"/>
                <w:szCs w:val="20"/>
              </w:rPr>
            </w:pPr>
            <w:r>
              <w:rPr>
                <w:rFonts w:ascii="Marianne" w:eastAsia="Calibri" w:hAnsi="Marianne"/>
                <w:sz w:val="20"/>
                <w:szCs w:val="20"/>
              </w:rPr>
              <w:t>Démarche non conforme au guide (confusion entre lire et deviner)</w:t>
            </w:r>
          </w:p>
        </w:tc>
        <w:tc>
          <w:tcPr>
            <w:tcW w:w="2555" w:type="dxa"/>
            <w:tcBorders>
              <w:top w:val="nil"/>
              <w:left w:val="nil"/>
              <w:bottom w:val="single" w:sz="36" w:space="0" w:color="auto"/>
              <w:right w:val="single" w:sz="36" w:space="0" w:color="auto"/>
            </w:tcBorders>
            <w:shd w:val="clear" w:color="auto" w:fill="FFFFFF" w:themeFill="background1"/>
            <w:vAlign w:val="center"/>
          </w:tcPr>
          <w:p w:rsidR="00891A5B" w:rsidRDefault="00891A5B" w:rsidP="00E11344">
            <w:pPr>
              <w:spacing w:after="0" w:line="240" w:lineRule="auto"/>
              <w:rPr>
                <w:rFonts w:ascii="Marianne" w:eastAsia="Calibri" w:hAnsi="Marianne"/>
                <w:sz w:val="20"/>
                <w:szCs w:val="20"/>
              </w:rPr>
            </w:pPr>
            <w:r>
              <w:rPr>
                <w:rFonts w:ascii="Marianne" w:eastAsia="Calibri" w:hAnsi="Marianne"/>
                <w:sz w:val="20"/>
                <w:szCs w:val="20"/>
              </w:rPr>
              <w:t>Projet court d’écriture en lien avec la lecture-compréhension</w:t>
            </w:r>
          </w:p>
          <w:p w:rsidR="00891A5B" w:rsidRPr="00883EB5" w:rsidRDefault="00891A5B" w:rsidP="00E11344">
            <w:pPr>
              <w:spacing w:after="0" w:line="240" w:lineRule="auto"/>
              <w:rPr>
                <w:rFonts w:ascii="Marianne" w:eastAsia="Calibri" w:hAnsi="Marianne"/>
                <w:sz w:val="20"/>
                <w:szCs w:val="20"/>
              </w:rPr>
            </w:pPr>
            <w:r>
              <w:rPr>
                <w:rFonts w:ascii="Marianne" w:eastAsia="Calibri" w:hAnsi="Marianne"/>
                <w:sz w:val="20"/>
                <w:szCs w:val="20"/>
              </w:rPr>
              <w:t>Progression sur l’année</w:t>
            </w:r>
            <w:r>
              <w:rPr>
                <w:rFonts w:ascii="Calibri" w:eastAsia="Calibri" w:hAnsi="Calibri" w:cs="Calibri"/>
                <w:sz w:val="20"/>
                <w:szCs w:val="20"/>
              </w:rPr>
              <w:t> </w:t>
            </w:r>
            <w:r>
              <w:rPr>
                <w:rFonts w:ascii="Marianne" w:eastAsia="Calibri" w:hAnsi="Marianne"/>
                <w:sz w:val="20"/>
                <w:szCs w:val="20"/>
              </w:rPr>
              <w:t>: écrits très courts / courts / longs</w:t>
            </w:r>
          </w:p>
        </w:tc>
        <w:tc>
          <w:tcPr>
            <w:tcW w:w="1701" w:type="dxa"/>
            <w:tcBorders>
              <w:top w:val="nil"/>
              <w:left w:val="single" w:sz="36" w:space="0" w:color="auto"/>
              <w:bottom w:val="single" w:sz="36" w:space="0" w:color="auto"/>
              <w:right w:val="single" w:sz="36" w:space="0" w:color="000000"/>
            </w:tcBorders>
            <w:shd w:val="clear" w:color="auto" w:fill="FFFFFF" w:themeFill="background1"/>
            <w:vAlign w:val="center"/>
          </w:tcPr>
          <w:p w:rsidR="00891A5B" w:rsidRPr="00883EB5" w:rsidRDefault="00891A5B" w:rsidP="00E11344">
            <w:pPr>
              <w:spacing w:after="0" w:line="240" w:lineRule="auto"/>
              <w:rPr>
                <w:rFonts w:ascii="Marianne" w:eastAsia="Calibri" w:hAnsi="Marianne"/>
                <w:sz w:val="20"/>
                <w:szCs w:val="20"/>
              </w:rPr>
            </w:pPr>
            <w:r w:rsidRPr="00883EB5">
              <w:rPr>
                <w:rFonts w:ascii="Marianne" w:eastAsia="Calibri" w:hAnsi="Marianne"/>
                <w:sz w:val="20"/>
                <w:szCs w:val="20"/>
              </w:rPr>
              <w:t>En lien avec les textes de lecture</w:t>
            </w:r>
          </w:p>
        </w:tc>
      </w:tr>
    </w:tbl>
    <w:p w:rsidR="00E11344" w:rsidRDefault="00E11344" w:rsidP="00891A5B">
      <w:pPr>
        <w:jc w:val="both"/>
        <w:rPr>
          <w:rFonts w:ascii="Marianne" w:hAnsi="Marianne"/>
          <w:sz w:val="20"/>
          <w:szCs w:val="20"/>
        </w:rPr>
      </w:pPr>
    </w:p>
    <w:p w:rsidR="00891A5B" w:rsidRPr="00D10CD2" w:rsidRDefault="00891A5B" w:rsidP="00891A5B">
      <w:pPr>
        <w:jc w:val="both"/>
        <w:rPr>
          <w:rFonts w:ascii="Marianne" w:hAnsi="Marianne"/>
          <w:sz w:val="20"/>
          <w:szCs w:val="20"/>
        </w:rPr>
      </w:pPr>
      <w:r w:rsidRPr="00D10CD2">
        <w:rPr>
          <w:rFonts w:ascii="Marianne" w:hAnsi="Marianne"/>
          <w:sz w:val="20"/>
          <w:szCs w:val="20"/>
        </w:rPr>
        <w:t xml:space="preserve">Les manuels récents présentés ont été analysés afin de contribuer à un choix en lien direct avec la conformité aux recommandations nationales pour l’apprentissage de la lecture.  Ils sont catégorisés par un indicateur de couleur qui positionne le manuel au regard de sa conformité globale, puis au sein des trois entrées : </w:t>
      </w:r>
      <w:r>
        <w:rPr>
          <w:rFonts w:ascii="Marianne" w:hAnsi="Marianne"/>
          <w:sz w:val="20"/>
          <w:szCs w:val="20"/>
        </w:rPr>
        <w:t>Automatisation des correspondances graphèmes-phonèmes</w:t>
      </w:r>
      <w:r w:rsidRPr="00D10CD2">
        <w:rPr>
          <w:rFonts w:ascii="Marianne" w:hAnsi="Marianne"/>
          <w:sz w:val="20"/>
          <w:szCs w:val="20"/>
        </w:rPr>
        <w:t xml:space="preserve"> ; </w:t>
      </w:r>
      <w:r>
        <w:rPr>
          <w:rFonts w:ascii="Marianne" w:hAnsi="Marianne"/>
          <w:sz w:val="20"/>
          <w:szCs w:val="20"/>
        </w:rPr>
        <w:t>textes pour travailler la compréhension</w:t>
      </w:r>
      <w:r w:rsidRPr="00D10CD2">
        <w:rPr>
          <w:rFonts w:ascii="Marianne" w:hAnsi="Marianne"/>
          <w:sz w:val="20"/>
          <w:szCs w:val="20"/>
        </w:rPr>
        <w:t xml:space="preserve"> ; </w:t>
      </w:r>
      <w:r>
        <w:rPr>
          <w:rFonts w:ascii="Marianne" w:hAnsi="Marianne"/>
          <w:sz w:val="20"/>
          <w:szCs w:val="20"/>
        </w:rPr>
        <w:t>activités d’écriture en lien avec les activités de lecture</w:t>
      </w:r>
      <w:r>
        <w:rPr>
          <w:rFonts w:ascii="Calibri" w:hAnsi="Calibri" w:cs="Calibri"/>
          <w:sz w:val="20"/>
          <w:szCs w:val="20"/>
        </w:rPr>
        <w:t> </w:t>
      </w:r>
      <w:r>
        <w:rPr>
          <w:rFonts w:ascii="Marianne" w:hAnsi="Marianne"/>
          <w:sz w:val="20"/>
          <w:szCs w:val="20"/>
        </w:rPr>
        <w:t>; séances spécifiques en étude de la langue</w:t>
      </w:r>
      <w:r w:rsidRPr="00D10CD2">
        <w:rPr>
          <w:rFonts w:ascii="Marianne" w:hAnsi="Marianne"/>
          <w:sz w:val="20"/>
          <w:szCs w:val="20"/>
        </w:rPr>
        <w:t>. Le classement en catégorie conforme indique qu’il est recommandé. La conformité partielle vise à attirer l’attention sur certains points qui nécessitent de ne pas mettre en œuvre ou de compléter les modalités d’apprentissage présentées. La non-conformité marque l’attention sur le fait qu’un manque existe et devra faire appel à un apprentissage non prévu par le manuel ou que la modalité d’apprentissage ne répond pas aux prescriptions nationales.</w:t>
      </w:r>
    </w:p>
    <w:p w:rsidR="00527932" w:rsidRPr="007B0B23" w:rsidRDefault="00527932">
      <w:pPr>
        <w:jc w:val="both"/>
        <w:rPr>
          <w:rFonts w:ascii="Marianne" w:hAnsi="Marianne"/>
        </w:rPr>
      </w:pPr>
    </w:p>
    <w:sectPr w:rsidR="00527932" w:rsidRPr="007B0B23" w:rsidSect="009558F7">
      <w:pgSz w:w="16838" w:h="11906" w:orient="landscape"/>
      <w:pgMar w:top="709" w:right="1417" w:bottom="426"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A4B" w:rsidRDefault="00FE5A4B" w:rsidP="00891A5B">
      <w:pPr>
        <w:spacing w:after="0" w:line="240" w:lineRule="auto"/>
      </w:pPr>
      <w:r>
        <w:separator/>
      </w:r>
    </w:p>
  </w:endnote>
  <w:endnote w:type="continuationSeparator" w:id="0">
    <w:p w:rsidR="00FE5A4B" w:rsidRDefault="00FE5A4B" w:rsidP="0089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A4B" w:rsidRDefault="00FE5A4B" w:rsidP="00891A5B">
      <w:pPr>
        <w:spacing w:after="0" w:line="240" w:lineRule="auto"/>
      </w:pPr>
      <w:r>
        <w:separator/>
      </w:r>
    </w:p>
  </w:footnote>
  <w:footnote w:type="continuationSeparator" w:id="0">
    <w:p w:rsidR="00FE5A4B" w:rsidRDefault="00FE5A4B" w:rsidP="00891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32"/>
    <w:rsid w:val="000E6718"/>
    <w:rsid w:val="002E796F"/>
    <w:rsid w:val="003D02A9"/>
    <w:rsid w:val="00434D45"/>
    <w:rsid w:val="00527932"/>
    <w:rsid w:val="0055269E"/>
    <w:rsid w:val="006013FA"/>
    <w:rsid w:val="0062696B"/>
    <w:rsid w:val="007B0B23"/>
    <w:rsid w:val="007C58CF"/>
    <w:rsid w:val="00822AA4"/>
    <w:rsid w:val="00852EB7"/>
    <w:rsid w:val="00883EB5"/>
    <w:rsid w:val="00891A5B"/>
    <w:rsid w:val="009558F7"/>
    <w:rsid w:val="00C245B6"/>
    <w:rsid w:val="00D21BDD"/>
    <w:rsid w:val="00D76D96"/>
    <w:rsid w:val="00E11344"/>
    <w:rsid w:val="00F5540E"/>
    <w:rsid w:val="00FE5A4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A20F"/>
  <w15:docId w15:val="{893701DA-04AB-4F4B-B80B-830EA4C8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81DB6"/>
  </w:style>
  <w:style w:type="character" w:customStyle="1" w:styleId="PieddepageCar">
    <w:name w:val="Pied de page Car"/>
    <w:basedOn w:val="Policepardfaut"/>
    <w:link w:val="Pieddepage"/>
    <w:uiPriority w:val="99"/>
    <w:qFormat/>
    <w:rsid w:val="00881DB6"/>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E86B1F"/>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881DB6"/>
    <w:pPr>
      <w:tabs>
        <w:tab w:val="center" w:pos="4536"/>
        <w:tab w:val="right" w:pos="9072"/>
      </w:tabs>
      <w:spacing w:after="0" w:line="240" w:lineRule="auto"/>
    </w:pPr>
  </w:style>
  <w:style w:type="paragraph" w:styleId="Pieddepage">
    <w:name w:val="footer"/>
    <w:basedOn w:val="Normal"/>
    <w:link w:val="PieddepageCar"/>
    <w:uiPriority w:val="99"/>
    <w:unhideWhenUsed/>
    <w:rsid w:val="00881DB6"/>
    <w:pPr>
      <w:tabs>
        <w:tab w:val="center" w:pos="4536"/>
        <w:tab w:val="right" w:pos="9072"/>
      </w:tabs>
      <w:spacing w:after="0" w:line="240" w:lineRule="auto"/>
    </w:pPr>
  </w:style>
  <w:style w:type="paragraph" w:customStyle="1" w:styleId="Contenudecadre">
    <w:name w:val="Contenu de cadre"/>
    <w:basedOn w:val="Normal"/>
    <w:qFormat/>
  </w:style>
  <w:style w:type="table" w:styleId="Grilledutableau">
    <w:name w:val="Table Grid"/>
    <w:basedOn w:val="TableauNormal"/>
    <w:uiPriority w:val="39"/>
    <w:rsid w:val="00E8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9417-5167-486F-8052-11E3CECA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SAILLOT</dc:creator>
  <dc:description/>
  <cp:lastModifiedBy>SELENE LEGUERNEY</cp:lastModifiedBy>
  <cp:revision>12</cp:revision>
  <dcterms:created xsi:type="dcterms:W3CDTF">2021-05-10T10:15:00Z</dcterms:created>
  <dcterms:modified xsi:type="dcterms:W3CDTF">2021-06-29T14:51:00Z</dcterms:modified>
  <dc:language>fr-FR</dc:language>
</cp:coreProperties>
</file>